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BA0049">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015"/>
            </w:tblGrid>
            <w:tr w:rsidR="00511041" w:rsidRPr="00511041">
              <w:trPr>
                <w:trHeight w:val="120"/>
              </w:trPr>
              <w:tc>
                <w:tcPr>
                  <w:tcW w:w="0" w:type="auto"/>
                </w:tcPr>
                <w:p w:rsidR="00511041" w:rsidRPr="00511041" w:rsidRDefault="00511041" w:rsidP="00511041">
                  <w:pPr>
                    <w:pStyle w:val="Default"/>
                    <w:rPr>
                      <w:sz w:val="18"/>
                      <w:szCs w:val="18"/>
                    </w:rPr>
                  </w:pPr>
                  <w:r w:rsidRPr="00511041">
                    <w:rPr>
                      <w:b/>
                      <w:bCs/>
                      <w:sz w:val="18"/>
                      <w:szCs w:val="18"/>
                    </w:rPr>
                    <w:t>Master akademske studije: Filozofija</w:t>
                  </w:r>
                </w:p>
              </w:tc>
            </w:tr>
          </w:tbl>
          <w:p w:rsidR="00864926" w:rsidRPr="00B54668" w:rsidRDefault="00864926" w:rsidP="00E857F8">
            <w:pPr>
              <w:spacing w:line="240" w:lineRule="auto"/>
              <w:contextualSpacing/>
              <w:jc w:val="left"/>
              <w:rPr>
                <w:rFonts w:ascii="Candara" w:hAnsi="Candara"/>
                <w:b/>
                <w:color w:val="548DD4" w:themeColor="text2" w:themeTint="99"/>
                <w:sz w:val="24"/>
                <w:szCs w:val="24"/>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38"/>
            </w:tblGrid>
            <w:tr w:rsidR="00511041">
              <w:trPr>
                <w:trHeight w:val="99"/>
              </w:trPr>
              <w:tc>
                <w:tcPr>
                  <w:tcW w:w="0" w:type="auto"/>
                </w:tcPr>
                <w:p w:rsidR="00511041" w:rsidRDefault="00511041" w:rsidP="00511041">
                  <w:pPr>
                    <w:pStyle w:val="Default"/>
                    <w:rPr>
                      <w:sz w:val="20"/>
                      <w:szCs w:val="20"/>
                    </w:rPr>
                  </w:pPr>
                  <w:r>
                    <w:rPr>
                      <w:sz w:val="20"/>
                      <w:szCs w:val="20"/>
                    </w:rPr>
                    <w:t>Filozofski sistemi Antike</w:t>
                  </w:r>
                </w:p>
              </w:tc>
            </w:tr>
          </w:tbl>
          <w:p w:rsidR="00864926" w:rsidRPr="00B54668" w:rsidRDefault="00864926" w:rsidP="00E857F8">
            <w:pPr>
              <w:spacing w:line="240" w:lineRule="auto"/>
              <w:contextualSpacing/>
              <w:jc w:val="left"/>
              <w:rPr>
                <w:rFonts w:ascii="Candara" w:hAnsi="Candara"/>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2"/>
            </w:tblGrid>
            <w:tr w:rsidR="00511041">
              <w:trPr>
                <w:trHeight w:val="99"/>
              </w:trPr>
              <w:tc>
                <w:tcPr>
                  <w:tcW w:w="0" w:type="auto"/>
                </w:tcPr>
                <w:p w:rsidR="00511041" w:rsidRDefault="00511041" w:rsidP="00511041">
                  <w:pPr>
                    <w:pStyle w:val="Default"/>
                    <w:rPr>
                      <w:sz w:val="20"/>
                      <w:szCs w:val="20"/>
                    </w:rPr>
                  </w:pPr>
                </w:p>
              </w:tc>
            </w:tr>
          </w:tbl>
          <w:p w:rsidR="00864926" w:rsidRPr="00B54668" w:rsidRDefault="00BA0049" w:rsidP="00E857F8">
            <w:pPr>
              <w:spacing w:line="240" w:lineRule="auto"/>
              <w:contextualSpacing/>
              <w:jc w:val="left"/>
              <w:rPr>
                <w:rFonts w:ascii="Candara" w:hAnsi="Candara"/>
              </w:rPr>
            </w:pPr>
            <w:r w:rsidRPr="00BA0049">
              <w:rPr>
                <w:rFonts w:ascii="Candara" w:hAnsi="Candara"/>
              </w:rPr>
              <w:t>15ФМ007</w:t>
            </w:r>
            <w:bookmarkStart w:id="0" w:name="_GoBack"/>
            <w:bookmarkEnd w:id="0"/>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1585"/>
            </w:tblGrid>
            <w:tr w:rsidR="00511041">
              <w:trPr>
                <w:trHeight w:val="99"/>
              </w:trPr>
              <w:tc>
                <w:tcPr>
                  <w:tcW w:w="0" w:type="auto"/>
                </w:tcPr>
                <w:p w:rsidR="00511041" w:rsidRDefault="00511041" w:rsidP="00511041">
                  <w:pPr>
                    <w:pStyle w:val="Default"/>
                    <w:rPr>
                      <w:sz w:val="20"/>
                      <w:szCs w:val="20"/>
                    </w:rPr>
                  </w:pPr>
                  <w:r>
                    <w:rPr>
                      <w:sz w:val="20"/>
                      <w:szCs w:val="20"/>
                    </w:rPr>
                    <w:t>Izborni predmet</w:t>
                  </w:r>
                </w:p>
              </w:tc>
            </w:tr>
          </w:tbl>
          <w:p w:rsidR="00864926" w:rsidRPr="00B54668" w:rsidRDefault="00864926" w:rsidP="00E857F8">
            <w:pPr>
              <w:spacing w:line="240" w:lineRule="auto"/>
              <w:contextualSpacing/>
              <w:jc w:val="left"/>
              <w:rPr>
                <w:rFonts w:ascii="Candara" w:hAnsi="Candara"/>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3267"/>
            </w:tblGrid>
            <w:tr w:rsidR="00511041">
              <w:trPr>
                <w:trHeight w:val="99"/>
              </w:trPr>
              <w:tc>
                <w:tcPr>
                  <w:tcW w:w="0" w:type="auto"/>
                </w:tcPr>
                <w:p w:rsidR="00511041" w:rsidRDefault="00511041" w:rsidP="00511041">
                  <w:pPr>
                    <w:pStyle w:val="Default"/>
                    <w:rPr>
                      <w:sz w:val="20"/>
                      <w:szCs w:val="20"/>
                    </w:rPr>
                  </w:pPr>
                  <w:r>
                    <w:rPr>
                      <w:sz w:val="20"/>
                      <w:szCs w:val="20"/>
                    </w:rPr>
                    <w:t>Master akademske studije: Filozofija</w:t>
                  </w:r>
                </w:p>
              </w:tc>
            </w:tr>
          </w:tbl>
          <w:p w:rsidR="00864926" w:rsidRPr="00B54668" w:rsidRDefault="00864926" w:rsidP="00E857F8">
            <w:pPr>
              <w:spacing w:line="240" w:lineRule="auto"/>
              <w:contextualSpacing/>
              <w:jc w:val="left"/>
              <w:rPr>
                <w:rFonts w:ascii="Candara" w:hAnsi="Candara"/>
              </w:rPr>
            </w:pP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2"/>
            </w:tblGrid>
            <w:tr w:rsidR="00511041">
              <w:trPr>
                <w:trHeight w:val="99"/>
              </w:trPr>
              <w:tc>
                <w:tcPr>
                  <w:tcW w:w="0" w:type="auto"/>
                </w:tcPr>
                <w:p w:rsidR="00511041" w:rsidRDefault="00511041" w:rsidP="00511041">
                  <w:pPr>
                    <w:pStyle w:val="Default"/>
                    <w:rPr>
                      <w:sz w:val="20"/>
                      <w:szCs w:val="20"/>
                    </w:rPr>
                  </w:pPr>
                </w:p>
              </w:tc>
            </w:tr>
          </w:tbl>
          <w:p w:rsidR="00C60C45" w:rsidRPr="00B54668" w:rsidRDefault="00BA0049" w:rsidP="00E857F8">
            <w:pPr>
              <w:spacing w:line="240" w:lineRule="auto"/>
              <w:contextualSpacing/>
              <w:jc w:val="left"/>
              <w:rPr>
                <w:rFonts w:ascii="Candara" w:hAnsi="Candara"/>
              </w:rPr>
            </w:pPr>
            <w:r w:rsidRPr="00BA0049">
              <w:rPr>
                <w:rFonts w:ascii="Candara" w:hAnsi="Candara"/>
              </w:rPr>
              <w:t>0223 Philosophy and ethics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1573"/>
            </w:tblGrid>
            <w:tr w:rsidR="00511041">
              <w:trPr>
                <w:trHeight w:val="99"/>
              </w:trPr>
              <w:tc>
                <w:tcPr>
                  <w:tcW w:w="0" w:type="auto"/>
                </w:tcPr>
                <w:p w:rsidR="00511041" w:rsidRDefault="00511041" w:rsidP="00511041">
                  <w:pPr>
                    <w:pStyle w:val="Default"/>
                    <w:rPr>
                      <w:sz w:val="20"/>
                      <w:szCs w:val="20"/>
                    </w:rPr>
                  </w:pPr>
                  <w:r>
                    <w:rPr>
                      <w:sz w:val="20"/>
                      <w:szCs w:val="20"/>
                    </w:rPr>
                    <w:t>Zimski semestar</w:t>
                  </w:r>
                </w:p>
              </w:tc>
            </w:tr>
          </w:tbl>
          <w:p w:rsidR="00864926" w:rsidRPr="00B54668" w:rsidRDefault="00864926" w:rsidP="00E857F8">
            <w:pPr>
              <w:suppressAutoHyphens w:val="0"/>
              <w:spacing w:after="0" w:line="240" w:lineRule="auto"/>
              <w:contextualSpacing/>
              <w:jc w:val="left"/>
              <w:rPr>
                <w:rFonts w:ascii="Candara" w:hAnsi="Candara" w:cs="Arial"/>
                <w:lang w:val="en-US"/>
              </w:rPr>
            </w:pP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278"/>
            </w:tblGrid>
            <w:tr w:rsidR="00511041">
              <w:trPr>
                <w:trHeight w:val="99"/>
              </w:trPr>
              <w:tc>
                <w:tcPr>
                  <w:tcW w:w="0" w:type="auto"/>
                </w:tcPr>
                <w:p w:rsidR="00511041" w:rsidRDefault="00511041" w:rsidP="00511041">
                  <w:pPr>
                    <w:pStyle w:val="Default"/>
                    <w:rPr>
                      <w:sz w:val="20"/>
                      <w:szCs w:val="20"/>
                    </w:rPr>
                  </w:pPr>
                  <w:r>
                    <w:rPr>
                      <w:sz w:val="20"/>
                      <w:szCs w:val="20"/>
                    </w:rPr>
                    <w:t>Prva godina Master akademskih studija filozofije</w:t>
                  </w:r>
                </w:p>
              </w:tc>
            </w:tr>
          </w:tbl>
          <w:p w:rsidR="00864926" w:rsidRPr="00B54668" w:rsidRDefault="00864926" w:rsidP="00E857F8">
            <w:pPr>
              <w:spacing w:line="240" w:lineRule="auto"/>
              <w:contextualSpacing/>
              <w:jc w:val="left"/>
              <w:rPr>
                <w:rFonts w:ascii="Candara" w:hAnsi="Candara"/>
              </w:rPr>
            </w:pP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53"/>
            </w:tblGrid>
            <w:tr w:rsidR="00511041">
              <w:trPr>
                <w:trHeight w:val="99"/>
              </w:trPr>
              <w:tc>
                <w:tcPr>
                  <w:tcW w:w="0" w:type="auto"/>
                </w:tcPr>
                <w:p w:rsidR="00511041" w:rsidRDefault="00511041" w:rsidP="00511041">
                  <w:pPr>
                    <w:pStyle w:val="Default"/>
                    <w:rPr>
                      <w:sz w:val="20"/>
                      <w:szCs w:val="20"/>
                    </w:rPr>
                  </w:pPr>
                  <w:r>
                    <w:rPr>
                      <w:sz w:val="20"/>
                      <w:szCs w:val="20"/>
                    </w:rPr>
                    <w:t>6 (šest)</w:t>
                  </w:r>
                </w:p>
              </w:tc>
            </w:tr>
          </w:tbl>
          <w:p w:rsidR="00A1335D" w:rsidRPr="00B54668" w:rsidRDefault="00A1335D"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440"/>
            </w:tblGrid>
            <w:tr w:rsidR="00511041">
              <w:trPr>
                <w:trHeight w:val="99"/>
              </w:trPr>
              <w:tc>
                <w:tcPr>
                  <w:tcW w:w="0" w:type="auto"/>
                </w:tcPr>
                <w:p w:rsidR="00511041" w:rsidRDefault="00735EFE" w:rsidP="00511041">
                  <w:pPr>
                    <w:pStyle w:val="Default"/>
                    <w:rPr>
                      <w:sz w:val="20"/>
                      <w:szCs w:val="20"/>
                    </w:rPr>
                  </w:pPr>
                  <w:r>
                    <w:rPr>
                      <w:sz w:val="20"/>
                      <w:szCs w:val="20"/>
                    </w:rPr>
                    <w:t xml:space="preserve">Prof. dr </w:t>
                  </w:r>
                  <w:r w:rsidR="00511041">
                    <w:rPr>
                      <w:sz w:val="20"/>
                      <w:szCs w:val="20"/>
                    </w:rPr>
                    <w:t>Željko Kaluđerović</w:t>
                  </w:r>
                </w:p>
              </w:tc>
            </w:tr>
          </w:tbl>
          <w:p w:rsidR="00E857F8" w:rsidRPr="00B54668" w:rsidRDefault="00E857F8" w:rsidP="00E857F8">
            <w:pPr>
              <w:spacing w:line="240" w:lineRule="auto"/>
              <w:contextualSpacing/>
              <w:jc w:val="left"/>
              <w:rPr>
                <w:rFonts w:ascii="Candara" w:hAnsi="Candara"/>
              </w:rPr>
            </w:pP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958"/>
            </w:tblGrid>
            <w:tr w:rsidR="00511041">
              <w:trPr>
                <w:trHeight w:val="99"/>
              </w:trPr>
              <w:tc>
                <w:tcPr>
                  <w:tcW w:w="0" w:type="auto"/>
                </w:tcPr>
                <w:p w:rsidR="00511041" w:rsidRDefault="00735EFE" w:rsidP="00511041">
                  <w:pPr>
                    <w:pStyle w:val="Default"/>
                    <w:rPr>
                      <w:sz w:val="20"/>
                      <w:szCs w:val="20"/>
                    </w:rPr>
                  </w:pPr>
                  <w:r>
                    <w:rPr>
                      <w:sz w:val="20"/>
                      <w:szCs w:val="20"/>
                    </w:rPr>
                    <w:t xml:space="preserve">Asistent </w:t>
                  </w:r>
                  <w:r w:rsidR="00511041">
                    <w:rPr>
                      <w:sz w:val="20"/>
                      <w:szCs w:val="20"/>
                    </w:rPr>
                    <w:t>Ana Miljević</w:t>
                  </w:r>
                </w:p>
              </w:tc>
            </w:tr>
          </w:tbl>
          <w:p w:rsidR="00C60C45" w:rsidRPr="00B54668" w:rsidRDefault="00C60C45"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939"/>
            </w:tblGrid>
            <w:tr w:rsidR="00511041">
              <w:trPr>
                <w:trHeight w:val="99"/>
              </w:trPr>
              <w:tc>
                <w:tcPr>
                  <w:tcW w:w="0" w:type="auto"/>
                </w:tcPr>
                <w:p w:rsidR="00511041" w:rsidRDefault="00511041" w:rsidP="00511041">
                  <w:pPr>
                    <w:pStyle w:val="Default"/>
                    <w:rPr>
                      <w:sz w:val="20"/>
                      <w:szCs w:val="20"/>
                    </w:rPr>
                  </w:pPr>
                  <w:r>
                    <w:rPr>
                      <w:sz w:val="20"/>
                      <w:szCs w:val="20"/>
                    </w:rPr>
                    <w:t>Konsultativna nastava (usmeno)</w:t>
                  </w:r>
                </w:p>
              </w:tc>
            </w:tr>
          </w:tbl>
          <w:p w:rsidR="00E857F8" w:rsidRPr="00B54668" w:rsidRDefault="00E857F8"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252"/>
            </w:tblGrid>
            <w:tr w:rsidR="00511041">
              <w:trPr>
                <w:trHeight w:val="99"/>
              </w:trPr>
              <w:tc>
                <w:tcPr>
                  <w:tcW w:w="0" w:type="auto"/>
                </w:tcPr>
                <w:p w:rsidR="00511041" w:rsidRDefault="00511041" w:rsidP="00511041">
                  <w:pPr>
                    <w:pStyle w:val="Default"/>
                    <w:rPr>
                      <w:sz w:val="20"/>
                      <w:szCs w:val="20"/>
                    </w:rPr>
                  </w:pPr>
                  <w:r>
                    <w:rPr>
                      <w:sz w:val="20"/>
                      <w:szCs w:val="20"/>
                    </w:rPr>
                    <w:t>Znanje srpskog, hrvatskog, bosanskog ili crnogorskog jezika</w:t>
                  </w:r>
                </w:p>
              </w:tc>
            </w:tr>
          </w:tbl>
          <w:p w:rsidR="00E857F8" w:rsidRPr="00B54668" w:rsidRDefault="00E857F8" w:rsidP="00E857F8">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tbl>
            <w:tblPr>
              <w:tblW w:w="0" w:type="auto"/>
              <w:tblBorders>
                <w:top w:val="nil"/>
                <w:left w:val="nil"/>
                <w:bottom w:val="nil"/>
                <w:right w:val="nil"/>
              </w:tblBorders>
              <w:tblLook w:val="0000" w:firstRow="0" w:lastRow="0" w:firstColumn="0" w:lastColumn="0" w:noHBand="0" w:noVBand="0"/>
            </w:tblPr>
            <w:tblGrid>
              <w:gridCol w:w="10224"/>
            </w:tblGrid>
            <w:tr w:rsidR="00511041">
              <w:trPr>
                <w:trHeight w:val="587"/>
              </w:trPr>
              <w:tc>
                <w:tcPr>
                  <w:tcW w:w="0" w:type="auto"/>
                </w:tcPr>
                <w:p w:rsidR="00511041" w:rsidRDefault="00511041" w:rsidP="00511041">
                  <w:pPr>
                    <w:pStyle w:val="Default"/>
                    <w:jc w:val="both"/>
                    <w:rPr>
                      <w:sz w:val="20"/>
                      <w:szCs w:val="20"/>
                    </w:rPr>
                  </w:pPr>
                  <w:r>
                    <w:rPr>
                      <w:sz w:val="20"/>
                      <w:szCs w:val="20"/>
                    </w:rPr>
                    <w:t>Koncept predmeta „Filozofski sistemi antike“ situiran je tako da studentima Diplomskih akademskih studija filozofije omogući izbor proučavanja relevantnih filozofskih koncepcija iz područja antičke filozofije. Takvo produbljeno istraživanje omogućiće temeljnije ovladavanje učenjima određenih filozofa i specijalizaciju za koncepcijska, problemska i pojmovno-kategorijalna polja velikih filozofskih sistema antike. Minuciozno studiranje učenja pojedinih filozofa studentima će olakšati izbor teme i pristupanje izradi diplomskog rada.</w:t>
                  </w:r>
                </w:p>
              </w:tc>
            </w:tr>
          </w:tbl>
          <w:p w:rsidR="00911529" w:rsidRPr="00511041" w:rsidRDefault="00911529" w:rsidP="00911529">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B54668" w:rsidRDefault="00511041" w:rsidP="004674F1">
            <w:pPr>
              <w:pStyle w:val="Default"/>
              <w:jc w:val="both"/>
              <w:rPr>
                <w:b/>
              </w:rPr>
            </w:pPr>
            <w:r>
              <w:rPr>
                <w:sz w:val="20"/>
                <w:szCs w:val="20"/>
              </w:rPr>
              <w:t>Problemsko apsolviranje jednog od velikih filozofskih sistema antike iz interpretacijskog ključa modernih misaonih paradigmi. Sticanje sposobnosti za produbljeniji dijalog između antičkog i savremenog načina mišljenja. Uvid u granice dijaloga između antičkog i savremenog sveta.</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511041" w:rsidRPr="00511041" w:rsidRDefault="00511041" w:rsidP="004674F1">
            <w:pPr>
              <w:pStyle w:val="Default"/>
              <w:jc w:val="both"/>
              <w:rPr>
                <w:sz w:val="20"/>
                <w:szCs w:val="20"/>
              </w:rPr>
            </w:pPr>
            <w:r w:rsidRPr="00511041">
              <w:rPr>
                <w:sz w:val="20"/>
                <w:szCs w:val="20"/>
              </w:rPr>
              <w:t xml:space="preserve">Teorijska nastava </w:t>
            </w:r>
          </w:p>
          <w:p w:rsidR="00511041" w:rsidRPr="00511041" w:rsidRDefault="00511041" w:rsidP="004674F1">
            <w:pPr>
              <w:pStyle w:val="Default"/>
              <w:jc w:val="both"/>
              <w:rPr>
                <w:sz w:val="20"/>
                <w:szCs w:val="20"/>
              </w:rPr>
            </w:pPr>
            <w:r w:rsidRPr="00511041">
              <w:rPr>
                <w:sz w:val="20"/>
                <w:szCs w:val="20"/>
              </w:rPr>
              <w:t>Karakterom predmeta „Filozofski sistemi antike“ određuje se mogući izbor studija filozofskih koncepcija nekog od značajnijih filozofa. U izborni korpus ovog predmeta spadaju pre svega Platon i Aristotel. Posebno studiranje svakoga od dvojice pomenutih filozofa u sebe uključuje: (a) studij celine filozofskih dela odabranog filozofa; (b) studij imanentnih filozofskih i misaonih veza odabranog filozofa s bližim diskusionim i polemičkim poljem filozofije; (c) studij sekundarne l</w:t>
            </w:r>
            <w:r w:rsidR="004674F1">
              <w:rPr>
                <w:sz w:val="20"/>
                <w:szCs w:val="20"/>
              </w:rPr>
              <w:t>iterature o odabranom filozofu.</w:t>
            </w:r>
          </w:p>
          <w:p w:rsidR="00511041" w:rsidRPr="00511041" w:rsidRDefault="004674F1" w:rsidP="004674F1">
            <w:pPr>
              <w:pStyle w:val="Default"/>
              <w:jc w:val="both"/>
              <w:rPr>
                <w:sz w:val="20"/>
                <w:szCs w:val="20"/>
              </w:rPr>
            </w:pPr>
            <w:r>
              <w:rPr>
                <w:sz w:val="20"/>
                <w:szCs w:val="20"/>
              </w:rPr>
              <w:t>Praktična nastava: Vežbe</w:t>
            </w:r>
          </w:p>
          <w:p w:rsidR="00B54668" w:rsidRPr="00511041" w:rsidRDefault="00511041" w:rsidP="004674F1">
            <w:pPr>
              <w:tabs>
                <w:tab w:val="left" w:pos="360"/>
              </w:tabs>
              <w:spacing w:after="0" w:line="240" w:lineRule="auto"/>
              <w:rPr>
                <w:rFonts w:ascii="Candara" w:hAnsi="Candara"/>
                <w:b/>
              </w:rPr>
            </w:pPr>
            <w:r w:rsidRPr="00511041">
              <w:rPr>
                <w:rFonts w:ascii="Candara" w:hAnsi="Candara"/>
              </w:rPr>
              <w:t>Analiza izvornih filozofskih tekstova.</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511041" w:rsidP="00511041">
            <w:pPr>
              <w:pStyle w:val="Default"/>
              <w:rPr>
                <w:b/>
              </w:rPr>
            </w:pPr>
            <w:r>
              <w:rPr>
                <w:sz w:val="20"/>
                <w:szCs w:val="20"/>
              </w:rPr>
              <w:t>Dijaloška i istraživačke metode razumevanja filozofskih sistema odabranog filozofa.</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907A6C" w:rsidRDefault="00836A35" w:rsidP="009F5E75">
            <w:pPr>
              <w:pStyle w:val="Default"/>
              <w:jc w:val="both"/>
              <w:rPr>
                <w:sz w:val="20"/>
                <w:szCs w:val="20"/>
              </w:rPr>
            </w:pPr>
            <w:r>
              <w:rPr>
                <w:sz w:val="20"/>
                <w:szCs w:val="20"/>
              </w:rPr>
              <w:t xml:space="preserve">1. </w:t>
            </w:r>
            <w:r w:rsidR="00907A6C" w:rsidRPr="00840DD5">
              <w:rPr>
                <w:sz w:val="20"/>
                <w:szCs w:val="20"/>
              </w:rPr>
              <w:t xml:space="preserve">Kaluđerović, Ž., </w:t>
            </w:r>
            <w:r w:rsidR="00907A6C" w:rsidRPr="00840DD5">
              <w:rPr>
                <w:i/>
                <w:sz w:val="20"/>
                <w:szCs w:val="20"/>
              </w:rPr>
              <w:t>Dike</w:t>
            </w:r>
            <w:r w:rsidR="00907A6C">
              <w:rPr>
                <w:sz w:val="20"/>
                <w:szCs w:val="20"/>
              </w:rPr>
              <w:t xml:space="preserve"> i </w:t>
            </w:r>
            <w:r w:rsidR="00907A6C" w:rsidRPr="00840DD5">
              <w:rPr>
                <w:i/>
                <w:sz w:val="20"/>
                <w:szCs w:val="20"/>
              </w:rPr>
              <w:t>dikaiosyne</w:t>
            </w:r>
            <w:r w:rsidR="00907A6C">
              <w:rPr>
                <w:sz w:val="20"/>
                <w:szCs w:val="20"/>
              </w:rPr>
              <w:t>, Магнаскен, Скопје (Македонија) 2015.</w:t>
            </w:r>
          </w:p>
          <w:p w:rsidR="00836A35" w:rsidRPr="00BA0049" w:rsidRDefault="00836A35" w:rsidP="009F5E75">
            <w:pPr>
              <w:pStyle w:val="Default"/>
              <w:jc w:val="both"/>
              <w:rPr>
                <w:sz w:val="20"/>
                <w:szCs w:val="20"/>
                <w:lang w:val="de-DE"/>
              </w:rPr>
            </w:pPr>
            <w:r w:rsidRPr="00BA0049">
              <w:rPr>
                <w:sz w:val="20"/>
                <w:szCs w:val="20"/>
                <w:lang w:val="de-DE"/>
              </w:rPr>
              <w:t xml:space="preserve">2. Erler, M., </w:t>
            </w:r>
            <w:r w:rsidRPr="00BA0049">
              <w:rPr>
                <w:i/>
                <w:sz w:val="20"/>
                <w:szCs w:val="20"/>
                <w:lang w:val="de-DE"/>
              </w:rPr>
              <w:t>Platon</w:t>
            </w:r>
            <w:r w:rsidRPr="00BA0049">
              <w:rPr>
                <w:sz w:val="20"/>
                <w:szCs w:val="20"/>
                <w:lang w:val="de-DE"/>
              </w:rPr>
              <w:t>, Nakl. Jurčić, Zagreb 2008.</w:t>
            </w:r>
          </w:p>
          <w:p w:rsidR="00836A35" w:rsidRPr="00BA0049" w:rsidRDefault="00836A35" w:rsidP="009F5E75">
            <w:pPr>
              <w:pStyle w:val="Default"/>
              <w:jc w:val="both"/>
              <w:rPr>
                <w:sz w:val="20"/>
                <w:szCs w:val="20"/>
                <w:lang w:val="de-DE"/>
              </w:rPr>
            </w:pPr>
            <w:r w:rsidRPr="00BA0049">
              <w:rPr>
                <w:sz w:val="20"/>
                <w:szCs w:val="20"/>
                <w:lang w:val="de-DE"/>
              </w:rPr>
              <w:t xml:space="preserve">3. Kremer, H., </w:t>
            </w:r>
            <w:r w:rsidRPr="00BA0049">
              <w:rPr>
                <w:i/>
                <w:sz w:val="20"/>
                <w:szCs w:val="20"/>
                <w:lang w:val="de-DE"/>
              </w:rPr>
              <w:t>Platonovo utemeljenje metafizike</w:t>
            </w:r>
            <w:r w:rsidRPr="00BA0049">
              <w:rPr>
                <w:sz w:val="20"/>
                <w:szCs w:val="20"/>
                <w:lang w:val="de-DE"/>
              </w:rPr>
              <w:t>, DEMETRA, Zagreb 1997.</w:t>
            </w:r>
          </w:p>
          <w:p w:rsidR="00836A35" w:rsidRDefault="00836A35" w:rsidP="009F5E75">
            <w:pPr>
              <w:pStyle w:val="Default"/>
              <w:jc w:val="both"/>
              <w:rPr>
                <w:sz w:val="20"/>
                <w:szCs w:val="20"/>
              </w:rPr>
            </w:pPr>
            <w:r>
              <w:rPr>
                <w:sz w:val="20"/>
                <w:szCs w:val="20"/>
              </w:rPr>
              <w:t xml:space="preserve">4. </w:t>
            </w:r>
            <w:r w:rsidRPr="00836A35">
              <w:rPr>
                <w:sz w:val="20"/>
                <w:szCs w:val="20"/>
                <w:lang w:val="en-GB"/>
              </w:rPr>
              <w:t xml:space="preserve">Kraut, R., (ed.), </w:t>
            </w:r>
            <w:r w:rsidRPr="00836A35">
              <w:rPr>
                <w:i/>
                <w:sz w:val="20"/>
                <w:szCs w:val="20"/>
                <w:lang w:val="en-GB"/>
              </w:rPr>
              <w:t>The Cambridge Companion to Plato</w:t>
            </w:r>
            <w:r w:rsidRPr="00836A35">
              <w:rPr>
                <w:sz w:val="20"/>
                <w:szCs w:val="20"/>
                <w:lang w:val="en-GB"/>
              </w:rPr>
              <w:t>, New York 2006.</w:t>
            </w:r>
          </w:p>
          <w:p w:rsidR="00836A35" w:rsidRDefault="00836A35" w:rsidP="009F5E75">
            <w:pPr>
              <w:pStyle w:val="Default"/>
              <w:jc w:val="both"/>
              <w:rPr>
                <w:sz w:val="20"/>
                <w:szCs w:val="20"/>
                <w:lang w:val="en-GB"/>
              </w:rPr>
            </w:pPr>
            <w:r>
              <w:rPr>
                <w:sz w:val="20"/>
                <w:szCs w:val="20"/>
              </w:rPr>
              <w:t xml:space="preserve">5. </w:t>
            </w:r>
            <w:r w:rsidRPr="00836A35">
              <w:rPr>
                <w:sz w:val="20"/>
                <w:szCs w:val="20"/>
                <w:lang w:val="en-GB"/>
              </w:rPr>
              <w:t xml:space="preserve">Hamilton, E., Cairns, H., (ed.), </w:t>
            </w:r>
            <w:r w:rsidRPr="00836A35">
              <w:rPr>
                <w:i/>
                <w:sz w:val="20"/>
                <w:szCs w:val="20"/>
                <w:lang w:val="en-GB"/>
              </w:rPr>
              <w:t>The Collected Dialogues of Plato</w:t>
            </w:r>
            <w:r w:rsidRPr="00836A35">
              <w:rPr>
                <w:sz w:val="20"/>
                <w:szCs w:val="20"/>
                <w:lang w:val="en-GB"/>
              </w:rPr>
              <w:t>, Princeton 1989.</w:t>
            </w:r>
          </w:p>
          <w:p w:rsidR="00836A35" w:rsidRPr="00BA0049" w:rsidRDefault="00836A35" w:rsidP="009F5E75">
            <w:pPr>
              <w:pStyle w:val="Default"/>
              <w:jc w:val="both"/>
              <w:rPr>
                <w:sz w:val="20"/>
                <w:szCs w:val="20"/>
                <w:lang w:val="de-DE"/>
              </w:rPr>
            </w:pPr>
            <w:r w:rsidRPr="00BA0049">
              <w:rPr>
                <w:sz w:val="20"/>
                <w:szCs w:val="20"/>
                <w:lang w:val="de-DE"/>
              </w:rPr>
              <w:t xml:space="preserve">6. Jaeger, W., </w:t>
            </w:r>
            <w:r w:rsidRPr="00836A35">
              <w:rPr>
                <w:i/>
                <w:sz w:val="20"/>
                <w:szCs w:val="20"/>
                <w:lang w:val="de-DE"/>
              </w:rPr>
              <w:t>Aristoteles Grundlegung einer Geschichte seiner Entwicklung</w:t>
            </w:r>
            <w:r w:rsidRPr="00BA0049">
              <w:rPr>
                <w:sz w:val="20"/>
                <w:szCs w:val="20"/>
                <w:lang w:val="de-DE"/>
              </w:rPr>
              <w:t>, Weidmann 1985.</w:t>
            </w:r>
          </w:p>
          <w:p w:rsidR="00836A35" w:rsidRPr="00836A35" w:rsidRDefault="00836A35" w:rsidP="009F5E75">
            <w:pPr>
              <w:pStyle w:val="Default"/>
              <w:jc w:val="both"/>
              <w:rPr>
                <w:sz w:val="20"/>
                <w:szCs w:val="20"/>
                <w:lang w:val="en-GB"/>
              </w:rPr>
            </w:pPr>
            <w:r>
              <w:rPr>
                <w:sz w:val="20"/>
                <w:szCs w:val="20"/>
                <w:lang w:val="en-GB"/>
              </w:rPr>
              <w:t>7</w:t>
            </w:r>
            <w:r w:rsidRPr="00836A35">
              <w:rPr>
                <w:sz w:val="20"/>
                <w:szCs w:val="20"/>
                <w:lang w:val="en-GB"/>
              </w:rPr>
              <w:t xml:space="preserve">. Anagnostopoulos, G., (ed.), </w:t>
            </w:r>
            <w:r w:rsidRPr="00836A35">
              <w:rPr>
                <w:i/>
                <w:sz w:val="20"/>
                <w:szCs w:val="20"/>
                <w:lang w:val="en-GB"/>
              </w:rPr>
              <w:t>A Companion to Aristotle</w:t>
            </w:r>
            <w:r w:rsidR="00BB7DED">
              <w:rPr>
                <w:sz w:val="20"/>
                <w:szCs w:val="20"/>
                <w:lang w:val="en-GB"/>
              </w:rPr>
              <w:t>, Oxford 2009.</w:t>
            </w:r>
          </w:p>
          <w:p w:rsidR="00B54668" w:rsidRPr="00B54668" w:rsidRDefault="00836A35" w:rsidP="009F5E75">
            <w:pPr>
              <w:pStyle w:val="Default"/>
              <w:jc w:val="both"/>
              <w:rPr>
                <w:b/>
              </w:rPr>
            </w:pPr>
            <w:r>
              <w:rPr>
                <w:sz w:val="20"/>
                <w:szCs w:val="20"/>
                <w:lang w:val="en-GB"/>
              </w:rPr>
              <w:t>8</w:t>
            </w:r>
            <w:r w:rsidRPr="00836A35">
              <w:rPr>
                <w:sz w:val="20"/>
                <w:szCs w:val="20"/>
                <w:lang w:val="en-GB"/>
              </w:rPr>
              <w:t xml:space="preserve">. Barnes, J., </w:t>
            </w:r>
            <w:r w:rsidRPr="00836A35">
              <w:rPr>
                <w:i/>
                <w:sz w:val="20"/>
                <w:szCs w:val="20"/>
                <w:lang w:val="en-GB"/>
              </w:rPr>
              <w:t>The Complete Works of Aristotle I-II</w:t>
            </w:r>
            <w:r>
              <w:rPr>
                <w:sz w:val="20"/>
                <w:szCs w:val="20"/>
                <w:lang w:val="en-GB"/>
              </w:rPr>
              <w:t>, Princeton 1991.</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836A35" w:rsidP="00836A35">
            <w:pPr>
              <w:pStyle w:val="Default"/>
              <w:rPr>
                <w:b/>
              </w:rPr>
            </w:pPr>
            <w:r>
              <w:rPr>
                <w:sz w:val="20"/>
                <w:szCs w:val="20"/>
              </w:rPr>
              <w:t>Prisustvo i aktivnost u toku predavanja (5), seminarski rad (15), kolokvijum (10), test (20), usmeni ispit (50).</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836A35" w:rsidP="00836A35">
            <w:pPr>
              <w:pStyle w:val="Default"/>
              <w:rPr>
                <w:b/>
              </w:rPr>
            </w:pPr>
            <w:r>
              <w:rPr>
                <w:sz w:val="20"/>
                <w:szCs w:val="20"/>
              </w:rPr>
              <w:t>Srpski jezik</w:t>
            </w:r>
          </w:p>
        </w:tc>
      </w:tr>
    </w:tbl>
    <w:p w:rsidR="00E60599" w:rsidRPr="00836A35" w:rsidRDefault="00E60599" w:rsidP="00836A35">
      <w:pPr>
        <w:ind w:left="1089"/>
        <w:rPr>
          <w:sz w:val="2"/>
          <w:szCs w:val="2"/>
        </w:rPr>
      </w:pPr>
    </w:p>
    <w:sectPr w:rsidR="00E60599" w:rsidRPr="00836A3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C8" w:rsidRDefault="009304C8" w:rsidP="00864926">
      <w:pPr>
        <w:spacing w:after="0" w:line="240" w:lineRule="auto"/>
      </w:pPr>
      <w:r>
        <w:separator/>
      </w:r>
    </w:p>
  </w:endnote>
  <w:endnote w:type="continuationSeparator" w:id="0">
    <w:p w:rsidR="009304C8" w:rsidRDefault="009304C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C8" w:rsidRDefault="009304C8" w:rsidP="00864926">
      <w:pPr>
        <w:spacing w:after="0" w:line="240" w:lineRule="auto"/>
      </w:pPr>
      <w:r>
        <w:separator/>
      </w:r>
    </w:p>
  </w:footnote>
  <w:footnote w:type="continuationSeparator" w:id="0">
    <w:p w:rsidR="009304C8" w:rsidRDefault="009304C8"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D64D3"/>
    <w:rsid w:val="002319B6"/>
    <w:rsid w:val="002E1614"/>
    <w:rsid w:val="00306562"/>
    <w:rsid w:val="00315601"/>
    <w:rsid w:val="00323176"/>
    <w:rsid w:val="00355262"/>
    <w:rsid w:val="003A5E98"/>
    <w:rsid w:val="003A6FFA"/>
    <w:rsid w:val="00431EFA"/>
    <w:rsid w:val="004674F1"/>
    <w:rsid w:val="004D1C7E"/>
    <w:rsid w:val="004E0E5F"/>
    <w:rsid w:val="004F1B7B"/>
    <w:rsid w:val="00511041"/>
    <w:rsid w:val="005B0885"/>
    <w:rsid w:val="005E5E0F"/>
    <w:rsid w:val="00735EFE"/>
    <w:rsid w:val="00783C57"/>
    <w:rsid w:val="00836A35"/>
    <w:rsid w:val="00864926"/>
    <w:rsid w:val="00873B84"/>
    <w:rsid w:val="00880F36"/>
    <w:rsid w:val="00907A6C"/>
    <w:rsid w:val="00911529"/>
    <w:rsid w:val="009304C8"/>
    <w:rsid w:val="009906EA"/>
    <w:rsid w:val="009B5BBF"/>
    <w:rsid w:val="009D3AC4"/>
    <w:rsid w:val="009F5E75"/>
    <w:rsid w:val="00A10286"/>
    <w:rsid w:val="00A1335D"/>
    <w:rsid w:val="00A40B78"/>
    <w:rsid w:val="00B54668"/>
    <w:rsid w:val="00BA0049"/>
    <w:rsid w:val="00BB7DED"/>
    <w:rsid w:val="00C60C45"/>
    <w:rsid w:val="00C90691"/>
    <w:rsid w:val="00D40BA3"/>
    <w:rsid w:val="00D42466"/>
    <w:rsid w:val="00DB43CC"/>
    <w:rsid w:val="00E60599"/>
    <w:rsid w:val="00E71A0B"/>
    <w:rsid w:val="00E857F8"/>
    <w:rsid w:val="00EC53EE"/>
    <w:rsid w:val="00F06AFA"/>
    <w:rsid w:val="00F2100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511041"/>
    <w:pPr>
      <w:autoSpaceDE w:val="0"/>
      <w:autoSpaceDN w:val="0"/>
      <w:adjustRightInd w:val="0"/>
      <w:spacing w:after="0" w:line="240" w:lineRule="auto"/>
    </w:pPr>
    <w:rPr>
      <w:rFonts w:ascii="Candara" w:hAnsi="Candara" w:cs="Candara"/>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511041"/>
    <w:pPr>
      <w:autoSpaceDE w:val="0"/>
      <w:autoSpaceDN w:val="0"/>
      <w:adjustRightInd w:val="0"/>
      <w:spacing w:after="0" w:line="240" w:lineRule="auto"/>
    </w:pPr>
    <w:rPr>
      <w:rFonts w:ascii="Candara" w:hAnsi="Candara" w:cs="Candar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1749A-EE9D-495B-814A-12AC5D96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FILOZOFSKI SISTEMI ANTIKE</vt:lpstr>
    </vt:vector>
  </TitlesOfParts>
  <Company>PMF</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FILOZOFSKI SISTEMI ANTIKE</dc:title>
  <dc:creator>ivana</dc:creator>
  <cp:lastModifiedBy>una</cp:lastModifiedBy>
  <cp:revision>2</cp:revision>
  <cp:lastPrinted>2018-06-12T21:08:00Z</cp:lastPrinted>
  <dcterms:created xsi:type="dcterms:W3CDTF">2018-06-13T12:06:00Z</dcterms:created>
  <dcterms:modified xsi:type="dcterms:W3CDTF">2018-06-13T12:06:00Z</dcterms:modified>
</cp:coreProperties>
</file>